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125 vom 23. September 1981</w:t>
      </w:r>
    </w:p>
    <w:p>
      <w:r>
        <w:t>Bundesgericht (BGE), 1981-09-23, FR</w:t>
      </w:r>
    </w:p>
    <w:p>
      <w:r>
        <w:rPr>
          <w:b/>
        </w:rPr>
        <w:t xml:space="preserve">Quelle: </w:t>
      </w:r>
      <w:r>
        <w:t>https://mcp.opencaselaw.ch/entscheid/bge_107 IB 125</w:t>
      </w:r>
    </w:p>
    <w:p>
      <w:r>
        <w:t>FR: BGE 107 IB 125 du 23 septembre 1981</w:t>
      </w:r>
    </w:p>
    <w:p>
      <w:r>
        <w:t>IT: BGE 107 IB 125 del 23 settembre 1981</w:t>
      </w:r>
    </w:p>
    <w:p>
      <w:pPr>
        <w:pStyle w:val="Heading2"/>
      </w:pPr>
      <w:r>
        <w:t>Regeste</w:t>
      </w:r>
    </w:p>
    <w:p>
      <w:r>
        <w:t>Regeste Gewässerschutz (Art. 5 Abs. 2 AGSchV. Art. 8 und 20 VWF, Art. 13 TTV). 1. Richtlinien eines privaten Verbandes; Frage der Rechtsnatur offen gelassen; Verhältnis zur AGSchV (E. 2 a und 2 c). 2. Ausnahmen nach Art. 20 VWF, wonach in der Zone A das Erstellen neuer und das Erweitern bestehender Anlagen für flüssige Brenn- und Treibstoffe untersagt ist; restriktive Auslegung, Sinn dieser Bestimmung (E. 2 b). 3. Wer eine Ausnahmebewilligung erlangen will, kann nicht unter Berufung auf den Gleichbehandlungsgrundsatz auf ähnliche Werke wie das geplante hinweisen, wenn diese zwar unter dem geltenden Recht ausgeführt wurden, aber noch entsprechend dem alten Recht bewilligt worden waren (E. 3).</w:t>
      </w:r>
    </w:p>
    <w:p>
      <w:pPr>
        <w:pStyle w:val="Heading2"/>
      </w:pPr>
      <w:r>
        <w:t>Erwägungen</w:t>
      </w:r>
    </w:p>
    <w:p>
      <w:r>
        <w:rPr>
          <w:b/>
        </w:rPr>
        <w:t>E. 2</w:t>
      </w:r>
    </w:p>
    <w:p>
      <w:r>
        <w:t>Le second (art. 20 al. 2 b OPEL) se rapporte à la garantie de l'approvisionnement en énergie d'un grand consommateur. Il convient de relever que le texte allemand de l'art. 20 al. 2 b OPEL n'a pas exactement la même teneur que les versions française et italienne. Celles-ci déclarent en effet qu'une exception à l'interdiction de construire de nouveaux réservoirs dans la zone A s'impose lorsque "l'approvisionnement en énergie d'un grand consommateur installé dans la zone A... ne peut être assuré..." (en italien: "installato nella zona A"). Le texte allemand ne précise pas que l'exception ne s'applique qu'à un grand consommateur installé dans la même zone (zone A) que les réservoirs qui l'approvisionnent. BGE 107 Ib 125 S. 131 La divergence de textes n'a aucun effet en l'espèce, dès lors que l'approvisionnement du grand consommateur, savoir l'aéroport de Genève-Cointrin, est assuré par les réservoirs existants et n'est pas mis en cause; l'augmentation de la capacité des réservoirs n'aurait donc pas pour but essentiel d'approvisionner ce consommateur; de surcroît, l'arrêt attaqué n'impose nullement une réduction de la capacité actuelle des réservoirs, ni la suppression ou le déplacement du dépôt. Enfin le motif invoqué par la recourante et fondé sur les besoins d'améliorer le stockage des carburants, eu égard à la pénurie d'énergie, sort, comme on l'a relevé plus haut, du but assigné par le législateur à l'art. 20 OPEL. Pour ces raisons, il n'y a pas lieu en l'espèce de faire bénéficier la recourante de l'exception de l'art. 20 al. 2 b, quel qu'en soit le texte. c) On constate donc que la réalisation du projet de la recourante visant à adapter ses installations aux prescriptions contenues dans les nouvelles directives de la Carbura conduirait à une violation de l'art. 20 OPEL. Une telle conséquence n'est pas admissible. Le but assigné aux directives de la Carbura est en effet le même que celui poursuivi par l'art. 20 OPEL. Dans les deux cas, il s'agit de dispositions qui tendent à la mise en oeuvre des principes institués par la législation fédérale sur la protection des eaux. Si les moyens sont différents, ils n'en sont pas moins complémentaires. La volonté de se conformer à l'une de ces règles ne peut, partant, servir de prétexte pour l'obtention d'une autorisation de construire exceptionnelle dérogeant à l'autre règle. L'adaptation à des normes techniques édictées pour des raisons de sécurité ne saurait justifier une augmentation de la capacité d'un dépôt, équivalant à la construction d'une installation de 9 millions de litres, dans une zone où, en principe, elle est rigoureusement interdite du fait du danger qu'elle représente pour la nappe phréatique. Quoi qu'il en soit, une application stricte des directives de la Carbura sur l'unification de la hauteur des manteaux de citerne n'exclut nullement, à priori, que soit respectée l'interdiction d'augmenter la quantité de combustibles et de carburants liquides entreposés dans la zone A. La proposition de l'administration cantonale de réduire la hauteur des citernes les plus élevées à celle des citernes les plus basses, qui a pour conséquence de réduire la capacité d'entreposage et que, pour ce motif, l'Office fédéral de l'environnement a estimé excessivement coûteuse, n'est sans doute pas la seule solution concevable. Il est pour le moins curieux que l'Office fédéral de l'environnement, considérant excessif le sacrifice BGE 107 Ib 125 S. 132 qui serait ainsi exigé de la recourante, se soit purement et simplement rallié au projet de celle-ci, inadmissible au regard du texte clair de la loi. Si l'autorité administrative estime que les conditions d'exploitation actuelles des installations de la recourante exigent leur adaptation aux nouvelles directives de la Carbura, il lui appartiendra d'examiner une formule qui soit conciliable avec la règle impérative de l'art. 20 OPEL. On ne voit pas pourquoi, par exemple, l'élévation des citernes les plus basses au niveau des citernes les plus élevées ne pourrait pas être assortie de la cancellation parallèle de réservoirs pour une capacité utile équivalente à l'augmentation de volume résultant de cette opération. Il existe sans doute, également, d'autres mesures de sécurité envisageables, propres à réduire dans des proportions raisonnables les risques inhérents à la communication des divers éléments de l'installation. C'est donc à bon droit que le Tribunal administratif a annulé la décision de la Commission de recours qui autorisait Sasma S.A. à augmenter de plus de 9000 m3 le volume utile de ses réservoirs.</w:t>
      </w:r>
    </w:p>
    <w:p>
      <w:r>
        <w:rPr>
          <w:b/>
        </w:rPr>
        <w:t>E. 3</w:t>
      </w:r>
    </w:p>
    <w:p>
      <w:r>
        <w:t>L'argument tiré par la recourante d'une violation de l'intérêt public et du principe de la proportionnalité n'a pas de consistance. On ne saurait contester sérieusement l'intérêt public à la base d'une restriction, fondé au reste sur un texte légal clair, qui vise à éviter l'entreposage de 9 millions de litres supplémentaires d'hydrocarbures dans une zone hautement protégée. Il ne peut davantage être question d'une violation du principe de la proportionnalité sous le prétexte que l'autorité cantonale aurait méconnu que l'approvisionnement du pays en produits pétroliers relève également de l'intérêt public. Cet intérêt public incontestable n'est en effet pas en jeu ici. La demande d'autorisation de construire n'avait pas pour but l'accroissement de la capacité des installations litigieuses, celle-ci n'étant que la résultante d'une mesure d'adaptation à des prescriptions de sécurité. Sous un autre angle, l'arrêt attaqué ne postule nullement une réduction de cette capacité, voire la suppression du dépôt ou son placement. Il laisse la porte ouverte à toutes solutions raisonnables qui respecteraient les exigences légales et se borne à exclure une augmentation de la capacité des installations en dérogation aux impératifs légaux. C'est également en vain que la recourante fait appel tant au principe de l'égalité de traitement qu'à celui de la bonne foi. S'il est vrai que Coop Genève a construit ou transformé ses dépôts dans la zone A de Vernier, après l'entrée en vigueur de la carte des zones de protection des eaux, elle l'a fait sur la base d'une autorisation qui lui avait été délivrée antérieurement, en BGE 107 Ib 125 S. 133 conformité du droit existant alors. Une interdiction d'exécuter les travaux à la suite de l'entrée en vigueur du nouveau plan n'aurait été possible que si les conditions pour la révocation de l'autorisation antérieurement accordée avaient été remplies, ce que la recourante ne démontre pas. Quant au principe de la bonne foi, il ne peut prévaloir, en principe, sur les modifications législatives. De plus, la recourante n'a pas apporté le moindre indice que des assurances formelles lui auraient été données par l'autorité compétente pour que l'adaptation de son dépôt aux nouvelles prescriptions techniques se fasse dans les formes souhaitées par elle. Ce qui est déterminant en l'espèce, c'est que ni le Tribunal administratif ni le Département n'ont, pour l'instant, posé l'exigence d'une adaptation aux directives de la Carbura sollicitée spontanément par la recourante. La lettre du Service cantonal des contrôles de la pollution du 25 novembre 1977 ne traite nullement de l'obligation de surélever les citernes lorsqu'elle parle de la remise en état de l'installation. Quant au Département, ni dans son recours au Tribunal administratif, ni dans sa réponse au recours de droit administratif, il n'a posé l'exigence de l'application des directives de la Carbura.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